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F0" w:rsidRPr="007749D7" w:rsidRDefault="00E70AED" w:rsidP="008053F0">
      <w:pPr>
        <w:pStyle w:val="a6"/>
        <w:spacing w:line="276" w:lineRule="auto"/>
        <w:rPr>
          <w:b w:val="0"/>
          <w:bCs w:val="0"/>
        </w:rPr>
      </w:pPr>
      <w:r w:rsidRPr="007749D7">
        <w:tab/>
      </w:r>
      <w:r w:rsidRPr="007749D7">
        <w:tab/>
        <w:t xml:space="preserve">        </w:t>
      </w:r>
      <w:r>
        <w:t xml:space="preserve">                                  </w:t>
      </w:r>
      <w:r w:rsidRPr="007749D7">
        <w:t xml:space="preserve">     </w:t>
      </w:r>
      <w:r w:rsidR="008053F0" w:rsidRPr="007749D7">
        <w:rPr>
          <w:b w:val="0"/>
          <w:bCs w:val="0"/>
        </w:rPr>
        <w:t>Приложение к приказу директора МКУ КЦСОН</w:t>
      </w:r>
    </w:p>
    <w:p w:rsidR="008053F0" w:rsidRPr="007749D7" w:rsidRDefault="008053F0" w:rsidP="008053F0">
      <w:pPr>
        <w:pStyle w:val="a6"/>
        <w:spacing w:line="276" w:lineRule="auto"/>
        <w:rPr>
          <w:b w:val="0"/>
          <w:bCs w:val="0"/>
        </w:rPr>
      </w:pPr>
      <w:r w:rsidRPr="007749D7">
        <w:rPr>
          <w:b w:val="0"/>
          <w:bCs w:val="0"/>
        </w:rPr>
        <w:t xml:space="preserve">                                               </w:t>
      </w:r>
      <w:r>
        <w:rPr>
          <w:b w:val="0"/>
          <w:bCs w:val="0"/>
        </w:rPr>
        <w:t xml:space="preserve">       </w:t>
      </w:r>
      <w:r w:rsidRPr="007749D7">
        <w:rPr>
          <w:b w:val="0"/>
          <w:bCs w:val="0"/>
        </w:rPr>
        <w:t xml:space="preserve"> от </w:t>
      </w:r>
      <w:r>
        <w:rPr>
          <w:b w:val="0"/>
          <w:bCs w:val="0"/>
        </w:rPr>
        <w:t>09.01.2018г. № 09</w:t>
      </w:r>
      <w:r w:rsidRPr="007749D7">
        <w:rPr>
          <w:b w:val="0"/>
          <w:bCs w:val="0"/>
        </w:rPr>
        <w:t xml:space="preserve">                                                                                                                                </w:t>
      </w:r>
    </w:p>
    <w:p w:rsidR="00E70AED" w:rsidRDefault="00E70AED" w:rsidP="008053F0">
      <w:pPr>
        <w:pStyle w:val="a6"/>
        <w:spacing w:line="276" w:lineRule="auto"/>
        <w:rPr>
          <w:b w:val="0"/>
          <w:bCs w:val="0"/>
        </w:rPr>
        <w:sectPr w:rsidR="00E70AED" w:rsidSect="000A33C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70AED" w:rsidRDefault="00E70AED" w:rsidP="00B31AE0">
      <w:pPr>
        <w:pStyle w:val="a6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Согласовано:</w:t>
      </w:r>
    </w:p>
    <w:p w:rsidR="00E70AED" w:rsidRDefault="00E70AED" w:rsidP="00B31AE0">
      <w:pPr>
        <w:pStyle w:val="a6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>Юрисконсульт</w:t>
      </w:r>
    </w:p>
    <w:p w:rsidR="00E70AED" w:rsidRDefault="00E70AED" w:rsidP="00B31AE0">
      <w:pPr>
        <w:pStyle w:val="a6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 Д.С. Булавин</w:t>
      </w:r>
    </w:p>
    <w:p w:rsidR="00E70AED" w:rsidRPr="007749D7" w:rsidRDefault="00E70AED" w:rsidP="00B31AE0">
      <w:pPr>
        <w:pStyle w:val="a6"/>
        <w:spacing w:line="276" w:lineRule="auto"/>
        <w:jc w:val="left"/>
        <w:rPr>
          <w:b w:val="0"/>
          <w:bCs w:val="0"/>
        </w:rPr>
      </w:pPr>
      <w:r>
        <w:t xml:space="preserve">«__» ____________  </w:t>
      </w:r>
      <w:r w:rsidRPr="00E661EA">
        <w:rPr>
          <w:b w:val="0"/>
          <w:bCs w:val="0"/>
        </w:rPr>
        <w:t>201</w:t>
      </w:r>
      <w:r>
        <w:rPr>
          <w:b w:val="0"/>
          <w:bCs w:val="0"/>
        </w:rPr>
        <w:t>8</w:t>
      </w:r>
      <w:r w:rsidRPr="00E661EA">
        <w:rPr>
          <w:b w:val="0"/>
          <w:bCs w:val="0"/>
        </w:rPr>
        <w:t>г.</w:t>
      </w:r>
    </w:p>
    <w:p w:rsidR="00E70AED" w:rsidRPr="007749D7" w:rsidRDefault="00E70AED" w:rsidP="00B31AE0">
      <w:pPr>
        <w:pStyle w:val="a6"/>
        <w:spacing w:line="276" w:lineRule="auto"/>
        <w:rPr>
          <w:b w:val="0"/>
          <w:bCs w:val="0"/>
        </w:rPr>
      </w:pPr>
    </w:p>
    <w:p w:rsidR="00E70AED" w:rsidRPr="007749D7" w:rsidRDefault="00E70AED" w:rsidP="00B31AE0">
      <w:pPr>
        <w:pStyle w:val="a6"/>
        <w:spacing w:line="276" w:lineRule="auto"/>
        <w:jc w:val="left"/>
        <w:rPr>
          <w:b w:val="0"/>
          <w:bCs w:val="0"/>
        </w:rPr>
      </w:pPr>
      <w:r w:rsidRPr="007749D7">
        <w:rPr>
          <w:b w:val="0"/>
          <w:bCs w:val="0"/>
        </w:rPr>
        <w:lastRenderedPageBreak/>
        <w:t>УТВЕРЖДАЮ</w:t>
      </w:r>
    </w:p>
    <w:p w:rsidR="00E70AED" w:rsidRPr="007749D7" w:rsidRDefault="00E70AED" w:rsidP="00B31AE0">
      <w:pPr>
        <w:spacing w:line="276" w:lineRule="auto"/>
        <w:jc w:val="both"/>
      </w:pPr>
      <w:r w:rsidRPr="007749D7">
        <w:t xml:space="preserve">Директор МКУ КЦСОН   </w:t>
      </w:r>
    </w:p>
    <w:p w:rsidR="00E70AED" w:rsidRPr="007749D7" w:rsidRDefault="00E70AED" w:rsidP="00B31AE0">
      <w:pPr>
        <w:spacing w:line="276" w:lineRule="auto"/>
        <w:jc w:val="both"/>
      </w:pPr>
      <w:r w:rsidRPr="007749D7">
        <w:t>__________С.И. Клыкова</w:t>
      </w:r>
    </w:p>
    <w:p w:rsidR="00E70AED" w:rsidRDefault="008053F0" w:rsidP="00B31AE0">
      <w:pPr>
        <w:spacing w:line="276" w:lineRule="auto"/>
        <w:sectPr w:rsidR="00E70AED" w:rsidSect="000A33C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t xml:space="preserve">«09» </w:t>
      </w:r>
      <w:r>
        <w:rPr>
          <w:u w:val="single"/>
        </w:rPr>
        <w:t xml:space="preserve">01   </w:t>
      </w:r>
      <w:r w:rsidRPr="008053F0">
        <w:rPr>
          <w:u w:val="single"/>
        </w:rPr>
        <w:t>2018г</w:t>
      </w:r>
    </w:p>
    <w:p w:rsidR="00E70AED" w:rsidRDefault="00E70AED" w:rsidP="00B31AE0">
      <w:pPr>
        <w:spacing w:line="276" w:lineRule="auto"/>
      </w:pPr>
    </w:p>
    <w:p w:rsidR="00E70AED" w:rsidRDefault="00E70AED" w:rsidP="00B31AE0">
      <w:pPr>
        <w:spacing w:line="276" w:lineRule="auto"/>
      </w:pPr>
    </w:p>
    <w:p w:rsidR="00E70AED" w:rsidRPr="00DC0A51" w:rsidRDefault="00E70AED" w:rsidP="00B31AE0">
      <w:pPr>
        <w:spacing w:line="276" w:lineRule="auto"/>
        <w:jc w:val="center"/>
        <w:rPr>
          <w:b/>
          <w:bCs/>
        </w:rPr>
      </w:pPr>
      <w:r w:rsidRPr="00DC0A51">
        <w:rPr>
          <w:b/>
          <w:bCs/>
        </w:rPr>
        <w:t xml:space="preserve">Положение </w:t>
      </w:r>
    </w:p>
    <w:p w:rsidR="00E70AED" w:rsidRPr="00DC0A51" w:rsidRDefault="00E70AED" w:rsidP="00B31AE0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об организации работы социального пункта проката технических средств ухода, реабилитации и адаптации отдельных категорий граждан из числа инвалидов, лиц перенесших травмы, хирургические операции, страдающих тяжелыми формами заболеваний, а также </w:t>
      </w:r>
      <w:proofErr w:type="spellStart"/>
      <w:r>
        <w:rPr>
          <w:b/>
          <w:bCs/>
        </w:rPr>
        <w:t>маломобильных</w:t>
      </w:r>
      <w:proofErr w:type="spellEnd"/>
      <w:r>
        <w:rPr>
          <w:b/>
          <w:bCs/>
        </w:rPr>
        <w:t xml:space="preserve"> групп населения</w:t>
      </w:r>
    </w:p>
    <w:p w:rsidR="00E70AED" w:rsidRPr="00DC0A51" w:rsidRDefault="00E70AED" w:rsidP="00B31AE0">
      <w:pPr>
        <w:spacing w:line="276" w:lineRule="auto"/>
        <w:jc w:val="center"/>
        <w:rPr>
          <w:b/>
          <w:bCs/>
        </w:rPr>
      </w:pPr>
    </w:p>
    <w:p w:rsidR="00E70AED" w:rsidRPr="00DC0A51" w:rsidRDefault="00E70AED" w:rsidP="00B31AE0">
      <w:pPr>
        <w:pStyle w:val="a8"/>
        <w:numPr>
          <w:ilvl w:val="0"/>
          <w:numId w:val="1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 xml:space="preserve">1. </w:t>
      </w:r>
      <w:proofErr w:type="gramStart"/>
      <w:r w:rsidRPr="00B8314B">
        <w:rPr>
          <w:color w:val="000000"/>
        </w:rPr>
        <w:t>Настоящее Положение разработано с целью оказания социальных услуг по временному обеспечению отдельных категорий граждан из числа инвалидов,</w:t>
      </w:r>
      <w:r>
        <w:rPr>
          <w:color w:val="000000"/>
        </w:rPr>
        <w:t xml:space="preserve"> </w:t>
      </w:r>
      <w:r w:rsidRPr="00B8314B">
        <w:rPr>
          <w:color w:val="000000"/>
        </w:rPr>
        <w:t xml:space="preserve">лиц перенесших травмы, хирургические операции, страдающих тяжелыми формами заболеваний, а также </w:t>
      </w:r>
      <w:proofErr w:type="spellStart"/>
      <w:r w:rsidRPr="00B8314B">
        <w:rPr>
          <w:color w:val="000000"/>
        </w:rPr>
        <w:t>маломобильных</w:t>
      </w:r>
      <w:proofErr w:type="spellEnd"/>
      <w:r w:rsidRPr="00B8314B">
        <w:rPr>
          <w:color w:val="000000"/>
        </w:rPr>
        <w:t xml:space="preserve"> групп населения, техническими средствами ухода, реабилитации и адаптации (далее - ТСР) и определяет порядок работы социального пункта проката технических средств ухода, реабилитации и адаптации (далее - пункт проката).</w:t>
      </w:r>
      <w:proofErr w:type="gramEnd"/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 xml:space="preserve">2. Пункт проката создан при Муниципальном казенном учреждении «Комплексный центр социального обслуживания населения» </w:t>
      </w:r>
      <w:proofErr w:type="spellStart"/>
      <w:r w:rsidRPr="00B8314B">
        <w:rPr>
          <w:color w:val="000000"/>
        </w:rPr>
        <w:t>Миасского</w:t>
      </w:r>
      <w:proofErr w:type="spellEnd"/>
      <w:r w:rsidRPr="00B8314B">
        <w:rPr>
          <w:color w:val="000000"/>
        </w:rPr>
        <w:t xml:space="preserve"> городского округа Челябинской области</w:t>
      </w:r>
      <w:r>
        <w:rPr>
          <w:color w:val="000000"/>
        </w:rPr>
        <w:t>»</w:t>
      </w:r>
      <w:r w:rsidRPr="00B8314B">
        <w:rPr>
          <w:color w:val="000000"/>
        </w:rPr>
        <w:t>, и входит в состав отделения срочного социального обслуживания.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3. Оснащение пункта проката ТСР осуществляется в рамках социальных программ за счет средств областного, муниципального бюджетов, внебюджетных средств, а также других источников, не запрещенных действующим законодательством Российской Федерации.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4. Пункт проката имеет место для хранения ТСР.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5. Информация о предназначении, оснащении пункта проката и порядке получения ТСР содержится на информационном стенде отделения срочного социального обслуживания. </w:t>
      </w:r>
    </w:p>
    <w:p w:rsidR="00E70AED" w:rsidRPr="00B8314B" w:rsidRDefault="00E70AED" w:rsidP="00B8314B">
      <w:pPr>
        <w:shd w:val="clear" w:color="auto" w:fill="FFFFFF"/>
        <w:spacing w:line="270" w:lineRule="atLeast"/>
        <w:ind w:right="-42"/>
        <w:jc w:val="center"/>
        <w:rPr>
          <w:b/>
          <w:bCs/>
          <w:color w:val="000000"/>
        </w:rPr>
      </w:pPr>
      <w:r w:rsidRPr="00B8314B">
        <w:rPr>
          <w:color w:val="000000"/>
        </w:rPr>
        <w:br/>
      </w:r>
      <w:r w:rsidRPr="00B8314B">
        <w:rPr>
          <w:b/>
          <w:bCs/>
          <w:color w:val="000000"/>
        </w:rPr>
        <w:t>II. Категории граждан, имеющих право на получение ТСР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 xml:space="preserve">8. Право на получение ТСР имеют граждане Российской Федерации, проживающие на территории </w:t>
      </w:r>
      <w:proofErr w:type="spellStart"/>
      <w:r w:rsidRPr="00B8314B">
        <w:rPr>
          <w:color w:val="000000"/>
        </w:rPr>
        <w:t>Миасского</w:t>
      </w:r>
      <w:proofErr w:type="spellEnd"/>
      <w:r w:rsidRPr="00B8314B">
        <w:rPr>
          <w:color w:val="000000"/>
        </w:rPr>
        <w:t xml:space="preserve"> городского округа (далее по тексту - гражданин), нуждающиеся в ТСР:</w:t>
      </w:r>
      <w:r w:rsidRPr="00B8314B">
        <w:rPr>
          <w:color w:val="000000"/>
        </w:rPr>
        <w:br/>
        <w:t>- инвалиды, состоящие в очереди на получение ТСР в соответствии с индивидуальной программой реабилитации в уполномоченном органе (до момента получения необходимого ТСР в постоянное пользование);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- инвалиды, имеющие в пользовании неисправные ТСР, подлежащие текущему ремонту или техническому обслуживанию (на период ремонта или обслуживания); 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- инвалиды, не имеющие индивидуальной программы реабилитации, но нуждающиеся по медицинским показаниям в ТСР;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lastRenderedPageBreak/>
        <w:br/>
        <w:t>- граждане, нуждающиеся в ТСР по медицинским показаниям, в том числе перенесшие травмы, хирургические операции (на период реабилитации). 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 xml:space="preserve">9. Право на внеочередное пользование услугами пункта проката имеют </w:t>
      </w:r>
      <w:proofErr w:type="spellStart"/>
      <w:r w:rsidRPr="00B8314B">
        <w:rPr>
          <w:color w:val="000000"/>
        </w:rPr>
        <w:t>маломобильные</w:t>
      </w:r>
      <w:proofErr w:type="spellEnd"/>
      <w:r w:rsidRPr="00B8314B">
        <w:rPr>
          <w:color w:val="000000"/>
        </w:rPr>
        <w:t xml:space="preserve"> категории граждан из числа: 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- инвалидов и участников Великой Отечественной войны;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- ветеранов Великой Отечественной войны. </w:t>
      </w:r>
    </w:p>
    <w:p w:rsidR="00E70AED" w:rsidRPr="00B8314B" w:rsidRDefault="00E70AED" w:rsidP="00B8314B">
      <w:pPr>
        <w:shd w:val="clear" w:color="auto" w:fill="FFFFFF"/>
        <w:spacing w:line="270" w:lineRule="atLeast"/>
        <w:ind w:right="-42"/>
        <w:jc w:val="center"/>
        <w:rPr>
          <w:b/>
          <w:bCs/>
          <w:color w:val="000000"/>
        </w:rPr>
      </w:pPr>
      <w:r w:rsidRPr="00B8314B">
        <w:rPr>
          <w:color w:val="000000"/>
        </w:rPr>
        <w:br/>
      </w:r>
      <w:r w:rsidRPr="00B8314B">
        <w:rPr>
          <w:b/>
          <w:bCs/>
          <w:color w:val="000000"/>
        </w:rPr>
        <w:t>III. Организация работы пункта проката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10. Обязанности по организации работы пункта проката возлагаются на заведующую отделением срочного социального обслуживания МКУ КЦСОН.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11. Лицо, ответственное за учет, хранение, выдачу и списание ТСР, в соответствии с требованиями бухгалтерского учета, назначается приказом директора МКУ КЦСОН.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12. Выдача ТСР осуществляется на основании договора о выдаче ТСР во временное пользование (далее договор), заключенного между директором МКУ КЦСОН и гражданином (или лицом, представляющим его интересы). 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 xml:space="preserve">14. </w:t>
      </w:r>
      <w:proofErr w:type="gramStart"/>
      <w:r w:rsidRPr="00B8314B">
        <w:rPr>
          <w:color w:val="000000"/>
        </w:rPr>
        <w:t>Договор оформляется при наличии в прокатном фонде необходимого ТСР на основании заявления гражданина (или лица, представляющего его интересы), с предъявлением следующих документов:</w:t>
      </w:r>
      <w:r w:rsidRPr="00B8314B">
        <w:rPr>
          <w:color w:val="000000"/>
        </w:rPr>
        <w:br/>
        <w:t>- паспорта или иного документа, удостоверяющего личность гражданина;</w:t>
      </w:r>
      <w:r w:rsidRPr="00B8314B">
        <w:rPr>
          <w:color w:val="000000"/>
        </w:rPr>
        <w:br/>
        <w:t>- документа, подтверждающего нуждаемость в ТСР (справка об установлении инвалидности, выданная федеральным государственным учреждением медико-социальной экспертизы; индивидуальная программа реабилитации; медицинское заключение лечащего врача о</w:t>
      </w:r>
      <w:r>
        <w:rPr>
          <w:color w:val="000000"/>
        </w:rPr>
        <w:t xml:space="preserve"> </w:t>
      </w:r>
      <w:r w:rsidRPr="00B8314B">
        <w:rPr>
          <w:color w:val="000000"/>
        </w:rPr>
        <w:t>нуждаемости в ТСР);</w:t>
      </w:r>
      <w:proofErr w:type="gramEnd"/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15. Срок действия договора определяется соглашением сторон с учетом нуждаемости гражданина в ТСР на период до 1 года.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В случае нуждаемости гражданина в дальнейшем использовании ТСР, при наличии объективных обстоятельств и заключения лечащего врача, срок договора может быть продлен путем заключения дополнительного соглашения. Срок действия дополнительного соглашения определяется соглашением сторон.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  <w:rPr>
          <w:color w:val="000000"/>
        </w:rPr>
      </w:pPr>
      <w:r w:rsidRPr="00B8314B">
        <w:rPr>
          <w:color w:val="000000"/>
        </w:rPr>
        <w:br/>
        <w:t>По истечении срока, указанного в договоре, ТСР возвращается гражданином (или лицом, представляющим его интересы) в пункт проката.</w:t>
      </w:r>
    </w:p>
    <w:p w:rsidR="00E70AED" w:rsidRDefault="00E70AED" w:rsidP="00B8314B">
      <w:pPr>
        <w:shd w:val="clear" w:color="auto" w:fill="FFFFFF"/>
        <w:spacing w:line="270" w:lineRule="atLeast"/>
        <w:ind w:right="-42"/>
        <w:jc w:val="both"/>
      </w:pPr>
      <w:r w:rsidRPr="00B8314B">
        <w:br/>
        <w:t>16. ТСР выдается</w:t>
      </w:r>
      <w:r>
        <w:t xml:space="preserve"> </w:t>
      </w:r>
      <w:r w:rsidRPr="00B8314B">
        <w:t>гражданину бесплатно, в день заключения договора.</w:t>
      </w:r>
    </w:p>
    <w:p w:rsidR="00E70AED" w:rsidRDefault="00E70AED" w:rsidP="00B8314B">
      <w:pPr>
        <w:pStyle w:val="a8"/>
        <w:tabs>
          <w:tab w:val="left" w:pos="3810"/>
        </w:tabs>
        <w:spacing w:line="276" w:lineRule="auto"/>
        <w:ind w:left="0" w:right="-42"/>
        <w:jc w:val="both"/>
        <w:rPr>
          <w:color w:val="000000"/>
        </w:rPr>
      </w:pPr>
      <w:r w:rsidRPr="00B8314B">
        <w:rPr>
          <w:color w:val="000000"/>
        </w:rPr>
        <w:br/>
        <w:t>17. Выдача ТСР гражданину (или лицу, представляющему его интересы) производится под роспись в журнале регистрации выдачи ТСР. </w:t>
      </w:r>
    </w:p>
    <w:p w:rsidR="00E70AED" w:rsidRDefault="00E70AED" w:rsidP="00B8314B">
      <w:pPr>
        <w:pStyle w:val="a8"/>
        <w:tabs>
          <w:tab w:val="left" w:pos="3810"/>
        </w:tabs>
        <w:spacing w:line="276" w:lineRule="auto"/>
        <w:ind w:left="0" w:right="-42"/>
        <w:jc w:val="both"/>
        <w:rPr>
          <w:color w:val="000000"/>
        </w:rPr>
      </w:pPr>
      <w:r w:rsidRPr="00B8314B">
        <w:rPr>
          <w:color w:val="000000"/>
        </w:rPr>
        <w:br/>
        <w:t>18. При передаче средств реабилитации гражданину (или лицу, представляющему его интересы) специалист, ответственный за выдачу ТСР, проверяет исправность ТСР, знакомит гражданина (или лицо, представляющее его интересы) с правилами эксплуатации ТСР.</w:t>
      </w:r>
    </w:p>
    <w:p w:rsidR="00E70AED" w:rsidRDefault="00E70AED" w:rsidP="00B8314B">
      <w:pPr>
        <w:pStyle w:val="a8"/>
        <w:tabs>
          <w:tab w:val="left" w:pos="3810"/>
        </w:tabs>
        <w:spacing w:line="276" w:lineRule="auto"/>
        <w:ind w:left="0" w:right="-42"/>
        <w:jc w:val="both"/>
        <w:rPr>
          <w:color w:val="000000"/>
        </w:rPr>
      </w:pPr>
      <w:r w:rsidRPr="00B8314B">
        <w:rPr>
          <w:color w:val="000000"/>
        </w:rPr>
        <w:br/>
        <w:t xml:space="preserve">19. В случае необходимости, доставка ТСР до места проживания осуществляется силами МКУ КЦСОН инвалидам 1, 2 групп, </w:t>
      </w:r>
      <w:proofErr w:type="spellStart"/>
      <w:r w:rsidRPr="00B8314B">
        <w:rPr>
          <w:color w:val="000000"/>
        </w:rPr>
        <w:t>маломобильным</w:t>
      </w:r>
      <w:proofErr w:type="spellEnd"/>
      <w:r w:rsidRPr="00B8314B">
        <w:rPr>
          <w:color w:val="000000"/>
        </w:rPr>
        <w:t xml:space="preserve"> гражданам старше 70 лет, утратившим способность к самообслуживанию и (или) передвижению.</w:t>
      </w:r>
      <w:r>
        <w:rPr>
          <w:color w:val="000000"/>
        </w:rPr>
        <w:t xml:space="preserve"> </w:t>
      </w:r>
    </w:p>
    <w:p w:rsidR="00E70AED" w:rsidRDefault="00E70AED" w:rsidP="00B8314B">
      <w:pPr>
        <w:pStyle w:val="a8"/>
        <w:tabs>
          <w:tab w:val="left" w:pos="3810"/>
        </w:tabs>
        <w:spacing w:line="276" w:lineRule="auto"/>
        <w:ind w:left="0" w:right="-42"/>
        <w:jc w:val="both"/>
        <w:rPr>
          <w:color w:val="000000"/>
        </w:rPr>
      </w:pPr>
      <w:r w:rsidRPr="00B8314B">
        <w:rPr>
          <w:color w:val="000000"/>
        </w:rPr>
        <w:lastRenderedPageBreak/>
        <w:t>20. ТСР выдаются без права передачи третьим лицам и должны использоваться строго по назначению.</w:t>
      </w:r>
      <w:r w:rsidRPr="00B8314B">
        <w:rPr>
          <w:color w:val="000000"/>
        </w:rPr>
        <w:br/>
        <w:t>В случае выявления факта умышленного ухудшения состояния ТСР или использования ТСР не по назначению, средства реабилитации могут быть досрочно изъяты у гражданина с последующим расторжением договора.</w:t>
      </w:r>
    </w:p>
    <w:p w:rsidR="00E70AED" w:rsidRPr="00B8314B" w:rsidRDefault="00E70AED" w:rsidP="00B8314B">
      <w:pPr>
        <w:pStyle w:val="a8"/>
        <w:tabs>
          <w:tab w:val="left" w:pos="3810"/>
        </w:tabs>
        <w:spacing w:line="276" w:lineRule="auto"/>
        <w:ind w:left="0" w:right="-42"/>
        <w:jc w:val="both"/>
      </w:pPr>
      <w:r w:rsidRPr="00B8314B">
        <w:rPr>
          <w:color w:val="000000"/>
        </w:rPr>
        <w:br/>
        <w:t>21. В случае если ТСР пришло в негодность, оно списывается.</w:t>
      </w:r>
      <w:r w:rsidRPr="00B8314B">
        <w:rPr>
          <w:color w:val="000000"/>
        </w:rPr>
        <w:br/>
        <w:t>Списание технических средств реабилитации с истекшим сроком использования или выбывших из эксплуатации до срока осуществляется на основании акта, согласно инструкции по бюджетному учету, утвержденной Приказом МФ РФ от 10.02.2006 N 25н.</w:t>
      </w:r>
    </w:p>
    <w:sectPr w:rsidR="00E70AED" w:rsidRPr="00B8314B" w:rsidSect="005B7F52">
      <w:type w:val="continuous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83" w:rsidRDefault="000C1D83" w:rsidP="002B5FA7">
      <w:r>
        <w:separator/>
      </w:r>
    </w:p>
  </w:endnote>
  <w:endnote w:type="continuationSeparator" w:id="0">
    <w:p w:rsidR="000C1D83" w:rsidRDefault="000C1D83" w:rsidP="002B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83" w:rsidRDefault="000C1D83" w:rsidP="002B5FA7">
      <w:r>
        <w:separator/>
      </w:r>
    </w:p>
  </w:footnote>
  <w:footnote w:type="continuationSeparator" w:id="0">
    <w:p w:rsidR="000C1D83" w:rsidRDefault="000C1D83" w:rsidP="002B5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1E4"/>
    <w:multiLevelType w:val="multilevel"/>
    <w:tmpl w:val="C6648D7A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16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">
    <w:nsid w:val="59A61115"/>
    <w:multiLevelType w:val="multilevel"/>
    <w:tmpl w:val="1848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F9C14D4"/>
    <w:multiLevelType w:val="multilevel"/>
    <w:tmpl w:val="6854B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7C410E46"/>
    <w:multiLevelType w:val="multilevel"/>
    <w:tmpl w:val="684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3C9"/>
    <w:rsid w:val="0000462D"/>
    <w:rsid w:val="0002251D"/>
    <w:rsid w:val="000413A4"/>
    <w:rsid w:val="00043555"/>
    <w:rsid w:val="0004741A"/>
    <w:rsid w:val="00047B2A"/>
    <w:rsid w:val="00050858"/>
    <w:rsid w:val="00056755"/>
    <w:rsid w:val="00060A64"/>
    <w:rsid w:val="0006411A"/>
    <w:rsid w:val="00074287"/>
    <w:rsid w:val="00091C6B"/>
    <w:rsid w:val="00094E1E"/>
    <w:rsid w:val="000A33C9"/>
    <w:rsid w:val="000B6DAF"/>
    <w:rsid w:val="000C1D83"/>
    <w:rsid w:val="000D3485"/>
    <w:rsid w:val="000D4553"/>
    <w:rsid w:val="000E1D08"/>
    <w:rsid w:val="000E4697"/>
    <w:rsid w:val="000F58CE"/>
    <w:rsid w:val="00121D1C"/>
    <w:rsid w:val="0016715C"/>
    <w:rsid w:val="00183844"/>
    <w:rsid w:val="00187E0F"/>
    <w:rsid w:val="00193CD0"/>
    <w:rsid w:val="001A0887"/>
    <w:rsid w:val="001A279C"/>
    <w:rsid w:val="001A4820"/>
    <w:rsid w:val="001B35D9"/>
    <w:rsid w:val="001B7288"/>
    <w:rsid w:val="001C1A37"/>
    <w:rsid w:val="001C4D60"/>
    <w:rsid w:val="001C6490"/>
    <w:rsid w:val="001D6338"/>
    <w:rsid w:val="001E00AF"/>
    <w:rsid w:val="001F16DB"/>
    <w:rsid w:val="00212B58"/>
    <w:rsid w:val="00234F3E"/>
    <w:rsid w:val="00245337"/>
    <w:rsid w:val="00253884"/>
    <w:rsid w:val="002569F6"/>
    <w:rsid w:val="002618E0"/>
    <w:rsid w:val="002654CB"/>
    <w:rsid w:val="00270973"/>
    <w:rsid w:val="00272BD6"/>
    <w:rsid w:val="00272C63"/>
    <w:rsid w:val="00275358"/>
    <w:rsid w:val="002B5FA7"/>
    <w:rsid w:val="002C33B1"/>
    <w:rsid w:val="002C70AA"/>
    <w:rsid w:val="002D1C1B"/>
    <w:rsid w:val="002D41B8"/>
    <w:rsid w:val="002D6449"/>
    <w:rsid w:val="002D7DD8"/>
    <w:rsid w:val="002F6F4C"/>
    <w:rsid w:val="00313EF0"/>
    <w:rsid w:val="003159BC"/>
    <w:rsid w:val="00331474"/>
    <w:rsid w:val="0034064F"/>
    <w:rsid w:val="003674E3"/>
    <w:rsid w:val="00373E5A"/>
    <w:rsid w:val="00382412"/>
    <w:rsid w:val="00390680"/>
    <w:rsid w:val="0039162F"/>
    <w:rsid w:val="0039264E"/>
    <w:rsid w:val="003A30B8"/>
    <w:rsid w:val="003A3FBC"/>
    <w:rsid w:val="003A5364"/>
    <w:rsid w:val="003B3CEC"/>
    <w:rsid w:val="003E3591"/>
    <w:rsid w:val="004167F8"/>
    <w:rsid w:val="00422233"/>
    <w:rsid w:val="004223B9"/>
    <w:rsid w:val="00422572"/>
    <w:rsid w:val="0042732B"/>
    <w:rsid w:val="004328A5"/>
    <w:rsid w:val="00446322"/>
    <w:rsid w:val="00456230"/>
    <w:rsid w:val="004577F2"/>
    <w:rsid w:val="00464315"/>
    <w:rsid w:val="00471D3C"/>
    <w:rsid w:val="00473000"/>
    <w:rsid w:val="0048229E"/>
    <w:rsid w:val="00482DB9"/>
    <w:rsid w:val="004831F5"/>
    <w:rsid w:val="00494869"/>
    <w:rsid w:val="004A23D8"/>
    <w:rsid w:val="004A65D9"/>
    <w:rsid w:val="004B0BB3"/>
    <w:rsid w:val="004C39AF"/>
    <w:rsid w:val="004D54C2"/>
    <w:rsid w:val="004E47E6"/>
    <w:rsid w:val="004F1D3A"/>
    <w:rsid w:val="004F20D1"/>
    <w:rsid w:val="004F2E22"/>
    <w:rsid w:val="004F3F8D"/>
    <w:rsid w:val="004F52E1"/>
    <w:rsid w:val="00505C74"/>
    <w:rsid w:val="005169E3"/>
    <w:rsid w:val="00522A5C"/>
    <w:rsid w:val="00523E22"/>
    <w:rsid w:val="00536924"/>
    <w:rsid w:val="0056709F"/>
    <w:rsid w:val="005709BF"/>
    <w:rsid w:val="005813AB"/>
    <w:rsid w:val="005932E0"/>
    <w:rsid w:val="00594E5D"/>
    <w:rsid w:val="005B457C"/>
    <w:rsid w:val="005B7F52"/>
    <w:rsid w:val="005D3F57"/>
    <w:rsid w:val="005D65FA"/>
    <w:rsid w:val="005E206A"/>
    <w:rsid w:val="005E3F4E"/>
    <w:rsid w:val="005E749F"/>
    <w:rsid w:val="005F2E02"/>
    <w:rsid w:val="005F5914"/>
    <w:rsid w:val="00602856"/>
    <w:rsid w:val="00603DC5"/>
    <w:rsid w:val="00611CCD"/>
    <w:rsid w:val="006436BD"/>
    <w:rsid w:val="00665243"/>
    <w:rsid w:val="0067602D"/>
    <w:rsid w:val="0068464A"/>
    <w:rsid w:val="00686901"/>
    <w:rsid w:val="006A375C"/>
    <w:rsid w:val="006A4F8C"/>
    <w:rsid w:val="006B6FE3"/>
    <w:rsid w:val="006C6A20"/>
    <w:rsid w:val="006D6DBE"/>
    <w:rsid w:val="006E35D8"/>
    <w:rsid w:val="006F0F8F"/>
    <w:rsid w:val="007051F9"/>
    <w:rsid w:val="00710B83"/>
    <w:rsid w:val="00732991"/>
    <w:rsid w:val="00733AF1"/>
    <w:rsid w:val="00755D41"/>
    <w:rsid w:val="0075755D"/>
    <w:rsid w:val="0076734A"/>
    <w:rsid w:val="007749D7"/>
    <w:rsid w:val="007A3383"/>
    <w:rsid w:val="007A68EB"/>
    <w:rsid w:val="007A7024"/>
    <w:rsid w:val="007A7363"/>
    <w:rsid w:val="007B6D98"/>
    <w:rsid w:val="007C651D"/>
    <w:rsid w:val="007D7E62"/>
    <w:rsid w:val="007E100C"/>
    <w:rsid w:val="007E2BCC"/>
    <w:rsid w:val="007E45E1"/>
    <w:rsid w:val="008053F0"/>
    <w:rsid w:val="00844F93"/>
    <w:rsid w:val="008570A2"/>
    <w:rsid w:val="0086050D"/>
    <w:rsid w:val="008716CC"/>
    <w:rsid w:val="008724DD"/>
    <w:rsid w:val="008731F3"/>
    <w:rsid w:val="00887A6A"/>
    <w:rsid w:val="008A2567"/>
    <w:rsid w:val="008B4F25"/>
    <w:rsid w:val="008C0D30"/>
    <w:rsid w:val="008C2168"/>
    <w:rsid w:val="008D2896"/>
    <w:rsid w:val="008D57E5"/>
    <w:rsid w:val="00913F7A"/>
    <w:rsid w:val="009208C3"/>
    <w:rsid w:val="00923392"/>
    <w:rsid w:val="00975548"/>
    <w:rsid w:val="00991573"/>
    <w:rsid w:val="00994331"/>
    <w:rsid w:val="009A6DE1"/>
    <w:rsid w:val="009B75A9"/>
    <w:rsid w:val="009E347A"/>
    <w:rsid w:val="00A056F2"/>
    <w:rsid w:val="00A4203C"/>
    <w:rsid w:val="00A62D54"/>
    <w:rsid w:val="00A7036E"/>
    <w:rsid w:val="00A71C34"/>
    <w:rsid w:val="00A75126"/>
    <w:rsid w:val="00A80977"/>
    <w:rsid w:val="00A92B0B"/>
    <w:rsid w:val="00AA29DB"/>
    <w:rsid w:val="00AB0B65"/>
    <w:rsid w:val="00AB0F49"/>
    <w:rsid w:val="00AB1CFB"/>
    <w:rsid w:val="00AB6834"/>
    <w:rsid w:val="00AC6E77"/>
    <w:rsid w:val="00AD1BDA"/>
    <w:rsid w:val="00AE4A9E"/>
    <w:rsid w:val="00AF2A9D"/>
    <w:rsid w:val="00AF6E43"/>
    <w:rsid w:val="00AF762F"/>
    <w:rsid w:val="00B03553"/>
    <w:rsid w:val="00B112C5"/>
    <w:rsid w:val="00B1294E"/>
    <w:rsid w:val="00B16F67"/>
    <w:rsid w:val="00B25BE0"/>
    <w:rsid w:val="00B31AE0"/>
    <w:rsid w:val="00B364F5"/>
    <w:rsid w:val="00B400E1"/>
    <w:rsid w:val="00B47FB3"/>
    <w:rsid w:val="00B644DA"/>
    <w:rsid w:val="00B7401B"/>
    <w:rsid w:val="00B755F7"/>
    <w:rsid w:val="00B75F4E"/>
    <w:rsid w:val="00B77C99"/>
    <w:rsid w:val="00B8314B"/>
    <w:rsid w:val="00B8442D"/>
    <w:rsid w:val="00B9114D"/>
    <w:rsid w:val="00B91F48"/>
    <w:rsid w:val="00BB0236"/>
    <w:rsid w:val="00BB6001"/>
    <w:rsid w:val="00BC09B2"/>
    <w:rsid w:val="00BC4EA2"/>
    <w:rsid w:val="00BE3113"/>
    <w:rsid w:val="00BF6B6B"/>
    <w:rsid w:val="00C0081D"/>
    <w:rsid w:val="00C00843"/>
    <w:rsid w:val="00C11AC2"/>
    <w:rsid w:val="00C20FAF"/>
    <w:rsid w:val="00C261BB"/>
    <w:rsid w:val="00C500D6"/>
    <w:rsid w:val="00C60086"/>
    <w:rsid w:val="00C6116F"/>
    <w:rsid w:val="00C71E19"/>
    <w:rsid w:val="00C72FFD"/>
    <w:rsid w:val="00C83BFA"/>
    <w:rsid w:val="00C85943"/>
    <w:rsid w:val="00CA4725"/>
    <w:rsid w:val="00CB2103"/>
    <w:rsid w:val="00CD061D"/>
    <w:rsid w:val="00CD69C3"/>
    <w:rsid w:val="00CE1E0B"/>
    <w:rsid w:val="00CE5970"/>
    <w:rsid w:val="00CF024A"/>
    <w:rsid w:val="00D02B0A"/>
    <w:rsid w:val="00D1325E"/>
    <w:rsid w:val="00D133C1"/>
    <w:rsid w:val="00D15E2B"/>
    <w:rsid w:val="00D23DEF"/>
    <w:rsid w:val="00D46B5C"/>
    <w:rsid w:val="00D57F9B"/>
    <w:rsid w:val="00D71AE7"/>
    <w:rsid w:val="00D72BE0"/>
    <w:rsid w:val="00D7363B"/>
    <w:rsid w:val="00D76384"/>
    <w:rsid w:val="00D77B9C"/>
    <w:rsid w:val="00D77E8E"/>
    <w:rsid w:val="00D803BA"/>
    <w:rsid w:val="00DB3F32"/>
    <w:rsid w:val="00DC0A51"/>
    <w:rsid w:val="00DC27B7"/>
    <w:rsid w:val="00DC4FE6"/>
    <w:rsid w:val="00DD1099"/>
    <w:rsid w:val="00DF06FF"/>
    <w:rsid w:val="00E24F45"/>
    <w:rsid w:val="00E27990"/>
    <w:rsid w:val="00E34875"/>
    <w:rsid w:val="00E36ED7"/>
    <w:rsid w:val="00E43A8A"/>
    <w:rsid w:val="00E558D3"/>
    <w:rsid w:val="00E56C2F"/>
    <w:rsid w:val="00E661EA"/>
    <w:rsid w:val="00E67229"/>
    <w:rsid w:val="00E70AED"/>
    <w:rsid w:val="00E81675"/>
    <w:rsid w:val="00E9173E"/>
    <w:rsid w:val="00E94F64"/>
    <w:rsid w:val="00E9778A"/>
    <w:rsid w:val="00EB4040"/>
    <w:rsid w:val="00EB4B84"/>
    <w:rsid w:val="00EB4E17"/>
    <w:rsid w:val="00EC42D5"/>
    <w:rsid w:val="00EC5BD5"/>
    <w:rsid w:val="00EC5E58"/>
    <w:rsid w:val="00EC7C4B"/>
    <w:rsid w:val="00ED3EB2"/>
    <w:rsid w:val="00EE5A67"/>
    <w:rsid w:val="00EF39D7"/>
    <w:rsid w:val="00F1569C"/>
    <w:rsid w:val="00F15D12"/>
    <w:rsid w:val="00F2585B"/>
    <w:rsid w:val="00F27B02"/>
    <w:rsid w:val="00F56231"/>
    <w:rsid w:val="00F61F01"/>
    <w:rsid w:val="00F62BC7"/>
    <w:rsid w:val="00F70B39"/>
    <w:rsid w:val="00F72AA1"/>
    <w:rsid w:val="00F826A6"/>
    <w:rsid w:val="00FB0257"/>
    <w:rsid w:val="00FD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33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33C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A33C9"/>
  </w:style>
  <w:style w:type="paragraph" w:styleId="a6">
    <w:name w:val="Title"/>
    <w:basedOn w:val="a"/>
    <w:link w:val="a7"/>
    <w:uiPriority w:val="99"/>
    <w:qFormat/>
    <w:rsid w:val="000A33C9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0A33C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0A33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864</Words>
  <Characters>4929</Characters>
  <Application>Microsoft Office Word</Application>
  <DocSecurity>0</DocSecurity>
  <Lines>41</Lines>
  <Paragraphs>11</Paragraphs>
  <ScaleCrop>false</ScaleCrop>
  <Company>Krokoz™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Director</cp:lastModifiedBy>
  <cp:revision>45</cp:revision>
  <cp:lastPrinted>2018-03-25T08:41:00Z</cp:lastPrinted>
  <dcterms:created xsi:type="dcterms:W3CDTF">2015-10-26T05:28:00Z</dcterms:created>
  <dcterms:modified xsi:type="dcterms:W3CDTF">2018-03-26T13:07:00Z</dcterms:modified>
</cp:coreProperties>
</file>